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5" w:type="dxa"/>
          </w:tcPr>
          <w:p>
            <w:pPr>
              <w:spacing w:line="276" w:lineRule="auto"/>
              <w:jc w:val="distribute"/>
              <w:rPr>
                <w:b/>
                <w:spacing w:val="60"/>
                <w:kern w:val="0"/>
                <w:sz w:val="44"/>
                <w:szCs w:val="44"/>
              </w:rPr>
            </w:pPr>
            <w:r>
              <w:rPr>
                <w:rFonts w:eastAsia="黑体"/>
                <w:sz w:val="32"/>
                <w:szCs w:val="32"/>
              </w:rPr>
              <w:t>清华大学水沙科学与水利水电工程国家重点实验室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5" w:type="dxa"/>
            <w:vAlign w:val="center"/>
          </w:tcPr>
          <w:p>
            <w:pPr>
              <w:spacing w:after="156" w:afterLines="50" w:line="276" w:lineRule="auto"/>
              <w:jc w:val="distribute"/>
              <w:rPr>
                <w:b/>
                <w:spacing w:val="60"/>
                <w:kern w:val="0"/>
                <w:sz w:val="44"/>
                <w:szCs w:val="44"/>
              </w:rPr>
            </w:pPr>
            <w:bookmarkStart w:id="0" w:name="_Hlk22572301"/>
            <w:r>
              <w:rPr>
                <w:rFonts w:eastAsia="黑体"/>
                <w:sz w:val="32"/>
                <w:szCs w:val="32"/>
              </w:rPr>
              <w:t>清华大学--宁夏银川水联网数字治水联合研究院</w:t>
            </w:r>
            <w:bookmarkEnd w:id="0"/>
          </w:p>
        </w:tc>
      </w:tr>
    </w:tbl>
    <w:p>
      <w:pPr>
        <w:spacing w:line="30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202</w:t>
      </w:r>
      <w:r>
        <w:rPr>
          <w:rFonts w:hint="eastAsia" w:eastAsia="黑体"/>
          <w:b/>
          <w:sz w:val="36"/>
          <w:szCs w:val="36"/>
          <w:lang w:val="en-US" w:eastAsia="zh-CN"/>
        </w:rPr>
        <w:t>4</w:t>
      </w:r>
      <w:r>
        <w:rPr>
          <w:rFonts w:eastAsia="黑体"/>
          <w:b/>
          <w:sz w:val="36"/>
          <w:szCs w:val="36"/>
        </w:rPr>
        <w:t>年度联合开放基金征集指南</w:t>
      </w:r>
    </w:p>
    <w:p>
      <w:pPr>
        <w:adjustRightInd w:val="0"/>
        <w:snapToGrid w:val="0"/>
        <w:spacing w:line="300" w:lineRule="auto"/>
        <w:ind w:firstLine="480" w:firstLineChars="200"/>
        <w:rPr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sz w:val="24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水联网是新一代水利信息化的集成发展方向，是物联网理论和技术体系在水利中的应用，是智慧水利的实现途径。水联网核心涉及信息学、气象学、水文学、水动力学、水资源管理以及行为科学等多学科</w:t>
      </w:r>
      <w:r>
        <w:rPr>
          <w:rFonts w:hint="eastAsia"/>
          <w:sz w:val="28"/>
          <w:szCs w:val="28"/>
        </w:rPr>
        <w:t>，前沿交叉</w:t>
      </w:r>
      <w:r>
        <w:rPr>
          <w:sz w:val="28"/>
          <w:szCs w:val="28"/>
        </w:rPr>
        <w:t>。为促进该领域的基础理论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应用</w:t>
      </w:r>
      <w:r>
        <w:rPr>
          <w:rFonts w:hint="eastAsia"/>
          <w:sz w:val="28"/>
          <w:szCs w:val="28"/>
        </w:rPr>
        <w:t>技术和交叉学科的发展，</w:t>
      </w:r>
      <w:r>
        <w:rPr>
          <w:sz w:val="28"/>
          <w:szCs w:val="28"/>
        </w:rPr>
        <w:t>吸引国内外优秀学者</w:t>
      </w:r>
      <w:r>
        <w:rPr>
          <w:rFonts w:hint="eastAsia"/>
          <w:sz w:val="28"/>
          <w:szCs w:val="28"/>
        </w:rPr>
        <w:t>投身现代水治理的理论方法研究</w:t>
      </w:r>
      <w:r>
        <w:rPr>
          <w:sz w:val="28"/>
          <w:szCs w:val="28"/>
        </w:rPr>
        <w:t>，培养和造就高层次科学研究人才，清华大学水沙科学与水利水电工程国家重点实验室、清华大学-宁夏银川水联网数字治水联合研究院共同设立</w:t>
      </w:r>
      <w:r>
        <w:rPr>
          <w:rFonts w:hint="eastAsia"/>
          <w:sz w:val="28"/>
          <w:szCs w:val="28"/>
        </w:rPr>
        <w:t>水联网数字治水联合</w:t>
      </w:r>
      <w:r>
        <w:rPr>
          <w:sz w:val="28"/>
          <w:szCs w:val="28"/>
        </w:rPr>
        <w:t>开放研究基金（以下简称“联合开放基金”），资助紧密围绕本实验室研究方向、具有重要科学意义和广泛应用前景的基础研究和应用基础研究项目。热忱欢迎和邀请各有关领域的国内外学者、科研人员来实验室进行科学研究。</w:t>
      </w:r>
    </w:p>
    <w:p>
      <w:pPr>
        <w:spacing w:before="156" w:beforeLines="50" w:after="156" w:afterLines="50" w:line="360" w:lineRule="auto"/>
        <w:rPr>
          <w:rFonts w:eastAsia="黑体"/>
          <w:sz w:val="28"/>
          <w:szCs w:val="28"/>
        </w:rPr>
      </w:pPr>
      <w:r>
        <w:rPr>
          <w:rFonts w:eastAsia="黑体"/>
          <w:b/>
          <w:sz w:val="28"/>
          <w:szCs w:val="28"/>
        </w:rPr>
        <w:t>一、资助范围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bookmarkStart w:id="1" w:name="_Hlk22572336"/>
      <w:r>
        <w:rPr>
          <w:sz w:val="28"/>
          <w:szCs w:val="28"/>
        </w:rPr>
        <w:t>本联合开放基金，瞄准水联网数字治水学科前沿和原始创新，注重</w:t>
      </w:r>
      <w:r>
        <w:rPr>
          <w:rFonts w:hint="eastAsia"/>
          <w:sz w:val="28"/>
          <w:szCs w:val="28"/>
          <w:lang w:val="en-US" w:eastAsia="zh-CN"/>
        </w:rPr>
        <w:t>水联网数字治水</w:t>
      </w:r>
      <w:r>
        <w:rPr>
          <w:sz w:val="28"/>
          <w:szCs w:val="28"/>
        </w:rPr>
        <w:t>基础</w:t>
      </w:r>
      <w:r>
        <w:rPr>
          <w:rFonts w:hint="eastAsia"/>
          <w:sz w:val="28"/>
          <w:szCs w:val="28"/>
          <w:lang w:val="en-US" w:eastAsia="zh-CN"/>
        </w:rPr>
        <w:t>理论</w:t>
      </w:r>
      <w:r>
        <w:rPr>
          <w:sz w:val="28"/>
          <w:szCs w:val="28"/>
        </w:rPr>
        <w:t>研究与信息科学、环境科学、气象科学、管理科学等的交叉融合</w:t>
      </w:r>
      <w:r>
        <w:rPr>
          <w:rFonts w:hint="eastAsia"/>
          <w:sz w:val="28"/>
          <w:szCs w:val="28"/>
        </w:rPr>
        <w:t>。2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年度重点资助方向</w:t>
      </w:r>
      <w:r>
        <w:rPr>
          <w:sz w:val="28"/>
          <w:szCs w:val="28"/>
        </w:rPr>
        <w:t>：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水联网数字治水基础理论，</w:t>
      </w:r>
      <w:r>
        <w:rPr>
          <w:rFonts w:hint="eastAsia"/>
          <w:sz w:val="28"/>
          <w:szCs w:val="28"/>
        </w:rPr>
        <w:t>主要</w:t>
      </w:r>
      <w:r>
        <w:rPr>
          <w:sz w:val="28"/>
          <w:szCs w:val="28"/>
        </w:rPr>
        <w:t>包括物联网~水联网~智慧水利</w:t>
      </w:r>
      <w:r>
        <w:rPr>
          <w:rFonts w:hint="eastAsia"/>
          <w:sz w:val="28"/>
          <w:szCs w:val="28"/>
        </w:rPr>
        <w:t>~数字孪生的系统结构、数学</w:t>
      </w:r>
      <w:r>
        <w:rPr>
          <w:sz w:val="28"/>
          <w:szCs w:val="28"/>
        </w:rPr>
        <w:t>表达</w:t>
      </w:r>
      <w:r>
        <w:rPr>
          <w:rFonts w:hint="eastAsia"/>
          <w:sz w:val="28"/>
          <w:szCs w:val="28"/>
        </w:rPr>
        <w:t>和解析方法</w:t>
      </w:r>
      <w:r>
        <w:rPr>
          <w:sz w:val="28"/>
          <w:szCs w:val="28"/>
        </w:rPr>
        <w:t>等；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水联网数字治水</w:t>
      </w:r>
      <w:r>
        <w:rPr>
          <w:rFonts w:hint="eastAsia"/>
          <w:sz w:val="28"/>
          <w:szCs w:val="28"/>
          <w:lang w:val="en-US" w:eastAsia="zh-CN"/>
        </w:rPr>
        <w:t>信息化</w:t>
      </w:r>
      <w:r>
        <w:rPr>
          <w:sz w:val="28"/>
          <w:szCs w:val="28"/>
        </w:rPr>
        <w:t>技术，</w:t>
      </w:r>
      <w:r>
        <w:rPr>
          <w:rFonts w:hint="eastAsia"/>
          <w:sz w:val="28"/>
          <w:szCs w:val="28"/>
        </w:rPr>
        <w:t>主要</w:t>
      </w:r>
      <w:r>
        <w:rPr>
          <w:sz w:val="28"/>
          <w:szCs w:val="28"/>
        </w:rPr>
        <w:t>包括</w:t>
      </w:r>
      <w:r>
        <w:rPr>
          <w:rFonts w:hint="eastAsia"/>
          <w:sz w:val="28"/>
          <w:szCs w:val="28"/>
          <w:lang w:eastAsia="zh-CN"/>
        </w:rPr>
        <w:t>风险辨识、管控和预警技术</w:t>
      </w:r>
      <w:r>
        <w:rPr>
          <w:rFonts w:hint="eastAsia"/>
          <w:sz w:val="28"/>
          <w:szCs w:val="28"/>
          <w:lang w:val="en-US" w:eastAsia="zh-CN"/>
        </w:rPr>
        <w:t>研发</w:t>
      </w:r>
      <w:r>
        <w:rPr>
          <w:rFonts w:hint="eastAsia"/>
          <w:sz w:val="28"/>
          <w:szCs w:val="28"/>
          <w:lang w:eastAsia="zh-CN"/>
        </w:rPr>
        <w:t>，系统化、立体化、自动化的安全监测系统</w:t>
      </w:r>
      <w:r>
        <w:rPr>
          <w:rFonts w:hint="eastAsia"/>
          <w:sz w:val="28"/>
          <w:szCs w:val="28"/>
          <w:lang w:val="en-US" w:eastAsia="zh-CN"/>
        </w:rPr>
        <w:t>建立</w:t>
      </w:r>
      <w:r>
        <w:rPr>
          <w:sz w:val="28"/>
          <w:szCs w:val="28"/>
        </w:rPr>
        <w:t>等；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水联网数字治水</w:t>
      </w:r>
      <w:r>
        <w:rPr>
          <w:rFonts w:hint="eastAsia"/>
          <w:sz w:val="28"/>
          <w:szCs w:val="28"/>
        </w:rPr>
        <w:t>控制</w:t>
      </w:r>
      <w:r>
        <w:rPr>
          <w:sz w:val="28"/>
          <w:szCs w:val="28"/>
        </w:rPr>
        <w:t>技术，</w:t>
      </w:r>
      <w:r>
        <w:rPr>
          <w:rFonts w:hint="eastAsia"/>
          <w:sz w:val="28"/>
          <w:szCs w:val="28"/>
        </w:rPr>
        <w:t>主要</w:t>
      </w:r>
      <w:r>
        <w:rPr>
          <w:sz w:val="28"/>
          <w:szCs w:val="28"/>
        </w:rPr>
        <w:t>包括</w:t>
      </w:r>
      <w:r>
        <w:rPr>
          <w:rFonts w:hint="eastAsia"/>
          <w:sz w:val="28"/>
          <w:szCs w:val="28"/>
        </w:rPr>
        <w:t>物理水网智能控制、水量精准计量与远程控制、</w:t>
      </w:r>
      <w:r>
        <w:rPr>
          <w:rFonts w:hint="eastAsia"/>
          <w:sz w:val="28"/>
          <w:szCs w:val="28"/>
          <w:lang w:val="en-US" w:eastAsia="zh-CN"/>
        </w:rPr>
        <w:t>洪水</w:t>
      </w:r>
      <w:r>
        <w:rPr>
          <w:rFonts w:hint="eastAsia"/>
          <w:sz w:val="28"/>
          <w:szCs w:val="28"/>
        </w:rPr>
        <w:t>调控、灌区全渠道智慧调度模型</w:t>
      </w:r>
      <w:r>
        <w:rPr>
          <w:sz w:val="28"/>
          <w:szCs w:val="28"/>
        </w:rPr>
        <w:t>等；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水联网数字治水</w:t>
      </w:r>
      <w:r>
        <w:rPr>
          <w:rFonts w:hint="eastAsia"/>
          <w:sz w:val="28"/>
          <w:szCs w:val="28"/>
        </w:rPr>
        <w:t>应用场景，包括水资源供给、水环境保护、水生态建设、水灾害防治、水文化繁荣的水联网智慧水利场景等；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rFonts w:hint="eastAsia"/>
          <w:sz w:val="28"/>
          <w:szCs w:val="28"/>
          <w:lang w:val="en-US" w:eastAsia="zh-CN"/>
        </w:rPr>
        <w:t>围绕</w:t>
      </w:r>
      <w:r>
        <w:rPr>
          <w:rFonts w:hint="eastAsia"/>
          <w:sz w:val="28"/>
          <w:szCs w:val="28"/>
        </w:rPr>
        <w:t>黄河流域生态保护与高质量发展先行区建设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开展</w:t>
      </w:r>
      <w:r>
        <w:rPr>
          <w:rFonts w:hint="eastAsia"/>
          <w:sz w:val="28"/>
          <w:szCs w:val="28"/>
        </w:rPr>
        <w:t>水联网智慧水利技术与应用、重点业务“四预”功能研究，包括但不限于黄河上游河套平原节水控盐产能提升、水土林草风光电低碳高效综合利用等；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（6）</w:t>
      </w:r>
      <w:r>
        <w:rPr>
          <w:sz w:val="28"/>
          <w:szCs w:val="28"/>
        </w:rPr>
        <w:t>水联网</w:t>
      </w:r>
      <w:r>
        <w:rPr>
          <w:rFonts w:hint="eastAsia"/>
          <w:sz w:val="28"/>
          <w:szCs w:val="28"/>
        </w:rPr>
        <w:t>智慧水利保障措施，包括</w:t>
      </w:r>
      <w:r>
        <w:rPr>
          <w:sz w:val="28"/>
          <w:szCs w:val="28"/>
        </w:rPr>
        <w:t>水资源利用</w:t>
      </w:r>
      <w:r>
        <w:rPr>
          <w:rFonts w:hint="eastAsia"/>
          <w:sz w:val="28"/>
          <w:szCs w:val="28"/>
        </w:rPr>
        <w:t>效能</w:t>
      </w:r>
      <w:r>
        <w:rPr>
          <w:sz w:val="28"/>
          <w:szCs w:val="28"/>
        </w:rPr>
        <w:t>评估、水环境治理</w:t>
      </w:r>
      <w:r>
        <w:rPr>
          <w:rFonts w:hint="eastAsia"/>
          <w:sz w:val="28"/>
          <w:szCs w:val="28"/>
        </w:rPr>
        <w:t>效能评估、</w:t>
      </w:r>
      <w:r>
        <w:rPr>
          <w:sz w:val="28"/>
          <w:szCs w:val="28"/>
        </w:rPr>
        <w:t>水生态保护</w:t>
      </w:r>
      <w:r>
        <w:rPr>
          <w:rFonts w:hint="eastAsia"/>
          <w:sz w:val="28"/>
          <w:szCs w:val="28"/>
        </w:rPr>
        <w:t>效能评估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城乡供水均等化评估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水灾害防御能力评估、</w:t>
      </w:r>
      <w:r>
        <w:rPr>
          <w:sz w:val="28"/>
          <w:szCs w:val="28"/>
        </w:rPr>
        <w:t>数字治水</w:t>
      </w:r>
      <w:r>
        <w:rPr>
          <w:rFonts w:hint="eastAsia"/>
          <w:sz w:val="28"/>
          <w:szCs w:val="28"/>
          <w:lang w:val="en-US" w:eastAsia="zh-CN"/>
        </w:rPr>
        <w:t>经济</w:t>
      </w:r>
      <w:r>
        <w:rPr>
          <w:rFonts w:hint="eastAsia"/>
          <w:sz w:val="28"/>
          <w:szCs w:val="28"/>
        </w:rPr>
        <w:t>评估的方法和技术等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（7）</w:t>
      </w:r>
      <w:r>
        <w:rPr>
          <w:rFonts w:hint="eastAsia"/>
          <w:sz w:val="28"/>
          <w:szCs w:val="28"/>
          <w:lang w:val="en-US" w:eastAsia="zh-CN"/>
        </w:rPr>
        <w:t>水联网数字治水</w:t>
      </w:r>
      <w:r>
        <w:rPr>
          <w:rFonts w:hint="eastAsia"/>
          <w:sz w:val="28"/>
          <w:szCs w:val="28"/>
        </w:rPr>
        <w:t>现代</w:t>
      </w:r>
      <w:r>
        <w:rPr>
          <w:rFonts w:hint="eastAsia"/>
          <w:sz w:val="28"/>
          <w:szCs w:val="28"/>
          <w:lang w:val="en-US" w:eastAsia="zh-CN"/>
        </w:rPr>
        <w:t>化</w:t>
      </w:r>
      <w:r>
        <w:rPr>
          <w:rFonts w:hint="eastAsia"/>
          <w:sz w:val="28"/>
          <w:szCs w:val="28"/>
        </w:rPr>
        <w:t>技术</w:t>
      </w:r>
      <w:r>
        <w:rPr>
          <w:sz w:val="28"/>
          <w:szCs w:val="28"/>
        </w:rPr>
        <w:t>体系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包括数字治水中的社会治理理论探讨、</w:t>
      </w:r>
      <w:r>
        <w:rPr>
          <w:sz w:val="28"/>
          <w:szCs w:val="28"/>
        </w:rPr>
        <w:t>市场机制</w:t>
      </w:r>
      <w:r>
        <w:rPr>
          <w:rFonts w:hint="eastAsia"/>
          <w:sz w:val="28"/>
          <w:szCs w:val="28"/>
          <w:lang w:val="en-US" w:eastAsia="zh-CN"/>
        </w:rPr>
        <w:t>制定</w:t>
      </w:r>
      <w:r>
        <w:rPr>
          <w:sz w:val="28"/>
          <w:szCs w:val="28"/>
        </w:rPr>
        <w:t>、管理模式创新等</w:t>
      </w:r>
      <w:r>
        <w:rPr>
          <w:rFonts w:hint="eastAsia"/>
          <w:sz w:val="28"/>
          <w:szCs w:val="28"/>
          <w:lang w:eastAsia="zh-CN"/>
        </w:rPr>
        <w:t>。</w:t>
      </w:r>
    </w:p>
    <w:bookmarkEnd w:id="1"/>
    <w:p>
      <w:pPr>
        <w:spacing w:before="156" w:beforeLines="50" w:after="156" w:afterLines="50" w:line="360" w:lineRule="auto"/>
        <w:rPr>
          <w:sz w:val="28"/>
          <w:szCs w:val="28"/>
        </w:rPr>
      </w:pPr>
      <w:r>
        <w:rPr>
          <w:rFonts w:eastAsia="黑体"/>
          <w:b/>
          <w:sz w:val="28"/>
          <w:szCs w:val="28"/>
        </w:rPr>
        <w:t>二、申请要求及评审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本“联合开放基金”依托单位与外单位科研人员均可申请，外单位申请者必须与依托单位教学科研人员联合申报；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申请者和项目组主要成员的申请项目数，连同在研的本</w:t>
      </w:r>
      <w:r>
        <w:rPr>
          <w:rFonts w:hint="eastAsia"/>
          <w:sz w:val="28"/>
          <w:szCs w:val="28"/>
        </w:rPr>
        <w:t>实验室</w:t>
      </w:r>
      <w:r>
        <w:rPr>
          <w:sz w:val="28"/>
          <w:szCs w:val="28"/>
        </w:rPr>
        <w:t>项目数不得超过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。开放基金项目执行期为1年。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申请者</w:t>
      </w:r>
      <w:r>
        <w:rPr>
          <w:rFonts w:hint="eastAsia"/>
          <w:sz w:val="28"/>
          <w:szCs w:val="28"/>
        </w:rPr>
        <w:t>需</w:t>
      </w:r>
      <w:r>
        <w:rPr>
          <w:sz w:val="28"/>
          <w:szCs w:val="28"/>
        </w:rPr>
        <w:t>按照申请书模板认真填写，在规定日期前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。本实验室收到申请书后，</w:t>
      </w:r>
      <w:r>
        <w:rPr>
          <w:rFonts w:hint="eastAsia"/>
          <w:sz w:val="28"/>
          <w:szCs w:val="28"/>
        </w:rPr>
        <w:t>将组织专家评审，择优报请</w:t>
      </w:r>
      <w:r>
        <w:rPr>
          <w:sz w:val="28"/>
          <w:szCs w:val="28"/>
        </w:rPr>
        <w:t>学术委员会</w:t>
      </w:r>
      <w:r>
        <w:rPr>
          <w:rFonts w:hint="eastAsia"/>
          <w:sz w:val="28"/>
          <w:szCs w:val="28"/>
        </w:rPr>
        <w:t>审批</w:t>
      </w:r>
      <w:r>
        <w:rPr>
          <w:sz w:val="28"/>
          <w:szCs w:val="28"/>
        </w:rPr>
        <w:t>。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4. 欢迎以宁夏回族自治区为案例，宁夏可为受资助项目提供优越的研究和试验区条件。</w:t>
      </w:r>
    </w:p>
    <w:p>
      <w:pPr>
        <w:spacing w:before="156" w:beforeLines="50" w:after="156" w:afterLines="50" w:line="360" w:lineRule="auto"/>
        <w:rPr>
          <w:sz w:val="28"/>
          <w:szCs w:val="28"/>
        </w:rPr>
      </w:pPr>
      <w:r>
        <w:rPr>
          <w:rFonts w:eastAsia="黑体"/>
          <w:b/>
          <w:sz w:val="28"/>
          <w:szCs w:val="28"/>
        </w:rPr>
        <w:t>三、受理时间及方式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自本“联合开放研究基金指南”公布之日起，开始接受课题申请，截止日期为202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sz w:val="28"/>
          <w:szCs w:val="28"/>
        </w:rPr>
        <w:t>日。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申请者需在规定日期内</w:t>
      </w:r>
      <w:r>
        <w:rPr>
          <w:rFonts w:hint="eastAsia"/>
          <w:sz w:val="28"/>
          <w:szCs w:val="28"/>
        </w:rPr>
        <w:t>通过申报系统（</w:t>
      </w:r>
      <w:r>
        <w:fldChar w:fldCharType="begin"/>
      </w:r>
      <w:r>
        <w:instrText xml:space="preserve"> HYPERLINK "http://hsef.sklhse.tsinghua.edu.cn/" </w:instrText>
      </w:r>
      <w:r>
        <w:fldChar w:fldCharType="separate"/>
      </w:r>
      <w:r>
        <w:rPr>
          <w:sz w:val="28"/>
          <w:szCs w:val="28"/>
        </w:rPr>
        <w:t>http://</w:t>
      </w:r>
      <w:bookmarkStart w:id="2" w:name="_GoBack"/>
      <w:bookmarkEnd w:id="2"/>
      <w:r>
        <w:rPr>
          <w:sz w:val="28"/>
          <w:szCs w:val="28"/>
        </w:rPr>
        <w:t>hsef.sklhse.tsinghua.edu.cn/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网站）完成申请书提交，并提交签字盖章后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纸质版1份</w:t>
      </w:r>
      <w:r>
        <w:rPr>
          <w:sz w:val="28"/>
          <w:szCs w:val="28"/>
        </w:rPr>
        <w:t>。</w:t>
      </w:r>
    </w:p>
    <w:p>
      <w:pPr>
        <w:spacing w:before="156" w:beforeLines="50" w:after="156" w:afterLines="50" w:line="360" w:lineRule="auto"/>
        <w:rPr>
          <w:sz w:val="28"/>
          <w:szCs w:val="28"/>
        </w:rPr>
      </w:pPr>
      <w:r>
        <w:rPr>
          <w:rFonts w:eastAsia="黑体"/>
          <w:b/>
          <w:sz w:val="28"/>
          <w:szCs w:val="28"/>
        </w:rPr>
        <w:t>四、基金资助及管理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本期开放基金项目预期项数为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。每项</w:t>
      </w:r>
      <w:r>
        <w:rPr>
          <w:sz w:val="28"/>
          <w:szCs w:val="28"/>
        </w:rPr>
        <w:t>资助额度为人民币10万元</w:t>
      </w:r>
      <w:r>
        <w:rPr>
          <w:rFonts w:hint="eastAsia"/>
          <w:sz w:val="28"/>
          <w:szCs w:val="28"/>
          <w:lang w:val="en-US" w:eastAsia="zh-CN"/>
        </w:rPr>
        <w:t>左右</w:t>
      </w:r>
      <w:r>
        <w:rPr>
          <w:sz w:val="28"/>
          <w:szCs w:val="28"/>
        </w:rPr>
        <w:t>。所有开放基金项目将按照“清华大学水沙科学与水利水电工程国家重点实验室、清华大学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宁夏银川水联网数字治水联合研究院联合开放研究基金管理办法”管理。</w:t>
      </w:r>
    </w:p>
    <w:p>
      <w:pPr>
        <w:snapToGrid w:val="0"/>
        <w:spacing w:line="300" w:lineRule="auto"/>
        <w:ind w:firstLine="560" w:firstLineChars="200"/>
        <w:rPr>
          <w:sz w:val="28"/>
          <w:szCs w:val="28"/>
        </w:rPr>
      </w:pPr>
    </w:p>
    <w:p>
      <w:pPr>
        <w:spacing w:line="4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联 系 人：</w:t>
      </w:r>
      <w:r>
        <w:rPr>
          <w:rFonts w:hint="eastAsia"/>
          <w:bCs/>
          <w:sz w:val="28"/>
          <w:szCs w:val="28"/>
        </w:rPr>
        <w:t>李聪聪、陈敏</w:t>
      </w:r>
    </w:p>
    <w:p>
      <w:pPr>
        <w:spacing w:line="420" w:lineRule="exact"/>
        <w:ind w:left="1417" w:hanging="1416" w:hangingChars="506"/>
        <w:rPr>
          <w:sz w:val="28"/>
          <w:szCs w:val="28"/>
        </w:rPr>
      </w:pPr>
      <w:r>
        <w:rPr>
          <w:bCs/>
          <w:sz w:val="28"/>
          <w:szCs w:val="28"/>
        </w:rPr>
        <w:t>联系方式：</w:t>
      </w:r>
      <w:r>
        <w:rPr>
          <w:sz w:val="28"/>
          <w:szCs w:val="28"/>
        </w:rPr>
        <w:t>北京市海淀区清华大学</w:t>
      </w:r>
      <w:r>
        <w:rPr>
          <w:rFonts w:hint="eastAsia"/>
          <w:sz w:val="28"/>
          <w:szCs w:val="28"/>
        </w:rPr>
        <w:t>新水利</w:t>
      </w:r>
      <w:r>
        <w:rPr>
          <w:sz w:val="28"/>
          <w:szCs w:val="28"/>
        </w:rPr>
        <w:t>馆</w:t>
      </w:r>
    </w:p>
    <w:p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邮政编码：100084</w:t>
      </w:r>
    </w:p>
    <w:p>
      <w:pPr>
        <w:tabs>
          <w:tab w:val="left" w:pos="480"/>
        </w:tabs>
        <w:spacing w:line="420" w:lineRule="exact"/>
        <w:ind w:right="567"/>
        <w:rPr>
          <w:sz w:val="28"/>
          <w:szCs w:val="28"/>
        </w:rPr>
      </w:pPr>
      <w:r>
        <w:rPr>
          <w:sz w:val="28"/>
          <w:szCs w:val="28"/>
        </w:rPr>
        <w:t>电话：010-62797481</w:t>
      </w:r>
    </w:p>
    <w:p>
      <w:pPr>
        <w:tabs>
          <w:tab w:val="left" w:pos="480"/>
        </w:tabs>
        <w:spacing w:line="420" w:lineRule="exact"/>
        <w:ind w:right="567"/>
        <w:rPr>
          <w:sz w:val="28"/>
          <w:szCs w:val="28"/>
        </w:rPr>
      </w:pPr>
      <w:r>
        <w:rPr>
          <w:sz w:val="28"/>
          <w:szCs w:val="28"/>
        </w:rPr>
        <w:t>传真：010-62773576</w:t>
      </w:r>
    </w:p>
    <w:p>
      <w:pPr>
        <w:tabs>
          <w:tab w:val="left" w:pos="480"/>
        </w:tabs>
        <w:spacing w:line="420" w:lineRule="exact"/>
        <w:ind w:right="567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Email: </w:t>
      </w:r>
      <w:r>
        <w:fldChar w:fldCharType="begin"/>
      </w:r>
      <w:r>
        <w:instrText xml:space="preserve"> HYPERLINK "mailto:ccli@mail.bnu.edu.cn" </w:instrText>
      </w:r>
      <w:r>
        <w:fldChar w:fldCharType="separate"/>
      </w:r>
      <w:r>
        <w:rPr>
          <w:rFonts w:hint="eastAsia"/>
          <w:sz w:val="28"/>
          <w:szCs w:val="28"/>
        </w:rPr>
        <w:t>cc</w:t>
      </w:r>
      <w:r>
        <w:rPr>
          <w:sz w:val="28"/>
          <w:szCs w:val="28"/>
        </w:rPr>
        <w:t>li@mail.bnu.edu.cn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; chenm@tsinghua.edu.cn</w:t>
      </w:r>
    </w:p>
    <w:sectPr>
      <w:headerReference r:id="rId3" w:type="default"/>
      <w:type w:val="continuous"/>
      <w:pgSz w:w="11907" w:h="16840"/>
      <w:pgMar w:top="1440" w:right="1418" w:bottom="156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0sDS3NLcwMjU3NzFW0lEKTi0uzszPAykwrwUALyPD6CwAAAA="/>
    <w:docVar w:name="commondata" w:val="eyJoZGlkIjoiNTI5ZTliN2IwNGFiNzhjMmFkNDVhNDYxNzJmZmY5MmMifQ=="/>
  </w:docVars>
  <w:rsids>
    <w:rsidRoot w:val="002B495A"/>
    <w:rsid w:val="00020400"/>
    <w:rsid w:val="00034C21"/>
    <w:rsid w:val="00043192"/>
    <w:rsid w:val="00045212"/>
    <w:rsid w:val="00057468"/>
    <w:rsid w:val="0006083F"/>
    <w:rsid w:val="00061875"/>
    <w:rsid w:val="000658D8"/>
    <w:rsid w:val="00085B1D"/>
    <w:rsid w:val="000A3A97"/>
    <w:rsid w:val="000A6495"/>
    <w:rsid w:val="000E21FA"/>
    <w:rsid w:val="00120099"/>
    <w:rsid w:val="0012304C"/>
    <w:rsid w:val="00126FCE"/>
    <w:rsid w:val="001531CB"/>
    <w:rsid w:val="00154BFB"/>
    <w:rsid w:val="00160A7C"/>
    <w:rsid w:val="00165B5A"/>
    <w:rsid w:val="00176E25"/>
    <w:rsid w:val="001B6222"/>
    <w:rsid w:val="001C7851"/>
    <w:rsid w:val="001D23F7"/>
    <w:rsid w:val="001D3D53"/>
    <w:rsid w:val="001D6D62"/>
    <w:rsid w:val="001F7E0A"/>
    <w:rsid w:val="002352BC"/>
    <w:rsid w:val="00236136"/>
    <w:rsid w:val="00240994"/>
    <w:rsid w:val="00240EA4"/>
    <w:rsid w:val="00270D88"/>
    <w:rsid w:val="002778EE"/>
    <w:rsid w:val="002B495A"/>
    <w:rsid w:val="002B49C9"/>
    <w:rsid w:val="002E09F2"/>
    <w:rsid w:val="002E4396"/>
    <w:rsid w:val="002F0626"/>
    <w:rsid w:val="00304DB4"/>
    <w:rsid w:val="00314B89"/>
    <w:rsid w:val="0032754F"/>
    <w:rsid w:val="003A3D23"/>
    <w:rsid w:val="003B58AE"/>
    <w:rsid w:val="003D3C9D"/>
    <w:rsid w:val="003E5AE8"/>
    <w:rsid w:val="003F5196"/>
    <w:rsid w:val="003F5BA5"/>
    <w:rsid w:val="00403832"/>
    <w:rsid w:val="00413868"/>
    <w:rsid w:val="00416FB5"/>
    <w:rsid w:val="00441CBD"/>
    <w:rsid w:val="0045547A"/>
    <w:rsid w:val="00474081"/>
    <w:rsid w:val="00493459"/>
    <w:rsid w:val="00496C1E"/>
    <w:rsid w:val="004A0EC0"/>
    <w:rsid w:val="004C78FF"/>
    <w:rsid w:val="004E5D8C"/>
    <w:rsid w:val="004F7030"/>
    <w:rsid w:val="0050289E"/>
    <w:rsid w:val="005036DE"/>
    <w:rsid w:val="005B372A"/>
    <w:rsid w:val="005E33C6"/>
    <w:rsid w:val="00617575"/>
    <w:rsid w:val="006353ED"/>
    <w:rsid w:val="0065031F"/>
    <w:rsid w:val="006B2EDB"/>
    <w:rsid w:val="006B697E"/>
    <w:rsid w:val="006F1A79"/>
    <w:rsid w:val="006F6C94"/>
    <w:rsid w:val="00704205"/>
    <w:rsid w:val="007145AC"/>
    <w:rsid w:val="00752A40"/>
    <w:rsid w:val="00764523"/>
    <w:rsid w:val="007A0EDE"/>
    <w:rsid w:val="007B3CE8"/>
    <w:rsid w:val="007E116C"/>
    <w:rsid w:val="007F37FA"/>
    <w:rsid w:val="00835125"/>
    <w:rsid w:val="00872B47"/>
    <w:rsid w:val="008B0E7B"/>
    <w:rsid w:val="008B19A4"/>
    <w:rsid w:val="008C6CA3"/>
    <w:rsid w:val="008D0F7A"/>
    <w:rsid w:val="00913499"/>
    <w:rsid w:val="00933D82"/>
    <w:rsid w:val="00962D57"/>
    <w:rsid w:val="00970C9E"/>
    <w:rsid w:val="009B78BF"/>
    <w:rsid w:val="009F5009"/>
    <w:rsid w:val="00A0310F"/>
    <w:rsid w:val="00A10C39"/>
    <w:rsid w:val="00A11AD6"/>
    <w:rsid w:val="00A30A5A"/>
    <w:rsid w:val="00A92677"/>
    <w:rsid w:val="00A935C6"/>
    <w:rsid w:val="00AC568F"/>
    <w:rsid w:val="00B02EA4"/>
    <w:rsid w:val="00B079B8"/>
    <w:rsid w:val="00B164B8"/>
    <w:rsid w:val="00B23317"/>
    <w:rsid w:val="00B312B5"/>
    <w:rsid w:val="00B3192E"/>
    <w:rsid w:val="00B74465"/>
    <w:rsid w:val="00B814BF"/>
    <w:rsid w:val="00B824D3"/>
    <w:rsid w:val="00B940C5"/>
    <w:rsid w:val="00B971D9"/>
    <w:rsid w:val="00BA70FA"/>
    <w:rsid w:val="00BD3FFC"/>
    <w:rsid w:val="00BF2925"/>
    <w:rsid w:val="00C003BB"/>
    <w:rsid w:val="00C04F88"/>
    <w:rsid w:val="00C10D95"/>
    <w:rsid w:val="00C22668"/>
    <w:rsid w:val="00C27749"/>
    <w:rsid w:val="00C37D02"/>
    <w:rsid w:val="00C44EA0"/>
    <w:rsid w:val="00C71775"/>
    <w:rsid w:val="00C87C95"/>
    <w:rsid w:val="00C94B2C"/>
    <w:rsid w:val="00C96F53"/>
    <w:rsid w:val="00CE2756"/>
    <w:rsid w:val="00D0680D"/>
    <w:rsid w:val="00D16C49"/>
    <w:rsid w:val="00D3195A"/>
    <w:rsid w:val="00D42836"/>
    <w:rsid w:val="00D51BF4"/>
    <w:rsid w:val="00D60366"/>
    <w:rsid w:val="00DC0C38"/>
    <w:rsid w:val="00DD76A2"/>
    <w:rsid w:val="00E060D2"/>
    <w:rsid w:val="00E10D65"/>
    <w:rsid w:val="00E14ADD"/>
    <w:rsid w:val="00E1571A"/>
    <w:rsid w:val="00E40595"/>
    <w:rsid w:val="00E629E6"/>
    <w:rsid w:val="00E63AE5"/>
    <w:rsid w:val="00E67AE8"/>
    <w:rsid w:val="00E74864"/>
    <w:rsid w:val="00E75EE7"/>
    <w:rsid w:val="00E8492F"/>
    <w:rsid w:val="00EB6A8C"/>
    <w:rsid w:val="00F049D8"/>
    <w:rsid w:val="00F0578F"/>
    <w:rsid w:val="00F10231"/>
    <w:rsid w:val="00F3013B"/>
    <w:rsid w:val="00F322F3"/>
    <w:rsid w:val="00F45B00"/>
    <w:rsid w:val="00F646ED"/>
    <w:rsid w:val="00F77008"/>
    <w:rsid w:val="00F85B7A"/>
    <w:rsid w:val="00F85B86"/>
    <w:rsid w:val="00F9780F"/>
    <w:rsid w:val="00FF6918"/>
    <w:rsid w:val="02C55317"/>
    <w:rsid w:val="18E925DF"/>
    <w:rsid w:val="2DDF23A1"/>
    <w:rsid w:val="3BE56CD5"/>
    <w:rsid w:val="57CB07FD"/>
    <w:rsid w:val="62E96850"/>
    <w:rsid w:val="662F47E7"/>
    <w:rsid w:val="6CC73937"/>
    <w:rsid w:val="7B36022F"/>
    <w:rsid w:val="7DBB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300" w:lineRule="auto"/>
      <w:ind w:firstLine="482"/>
    </w:pPr>
    <w:rPr>
      <w:rFonts w:ascii="宋体" w:hAnsi="宋体"/>
      <w:sz w:val="24"/>
    </w:rPr>
  </w:style>
  <w:style w:type="paragraph" w:styleId="4">
    <w:name w:val="Body Text Indent 2"/>
    <w:basedOn w:val="1"/>
    <w:qFormat/>
    <w:uiPriority w:val="0"/>
    <w:pPr>
      <w:ind w:firstLine="458" w:firstLineChars="218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已访问的超链接1"/>
    <w:qFormat/>
    <w:uiPriority w:val="0"/>
    <w:rPr>
      <w:color w:val="800080"/>
      <w:u w:val="single"/>
    </w:rPr>
  </w:style>
  <w:style w:type="character" w:customStyle="1" w:styleId="21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HHU</Company>
  <Pages>3</Pages>
  <Words>667</Words>
  <Characters>968</Characters>
  <Lines>60</Lines>
  <Paragraphs>51</Paragraphs>
  <TotalTime>21</TotalTime>
  <ScaleCrop>false</ScaleCrop>
  <LinksUpToDate>false</LinksUpToDate>
  <CharactersWithSpaces>1584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2022-11-27T03:00:00Z</dcterms:created>
  <dc:creator>HYDROSCI</dc:creator>
  <cp:lastModifiedBy>lic</cp:lastModifiedBy>
  <cp:lastPrinted>2006-09-21T11:14:00Z</cp:lastPrinted>
  <dcterms:modified xsi:type="dcterms:W3CDTF">2023-11-07T02:49:49Z</dcterms:modified>
  <dc:title>水沙国重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0a7cf9326105805ba1b38a197d777bb1f5c1323d97f919f07f538cb359fe8e24</vt:lpwstr>
  </property>
  <property fmtid="{D5CDD505-2E9C-101B-9397-08002B2CF9AE}" pid="3" name="KSOProductBuildVer">
    <vt:lpwstr>2052-12.1.0.15398</vt:lpwstr>
  </property>
  <property fmtid="{D5CDD505-2E9C-101B-9397-08002B2CF9AE}" pid="4" name="ICV">
    <vt:lpwstr>5188C6B67CDA4F359429B6C3040BCB5C_13</vt:lpwstr>
  </property>
</Properties>
</file>